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BIOMARKER REFERENCE VALUES AMONG CHEST PAIN UNIT PATIENTS </w:t>
      </w:r>
    </w:p>
    <w:p w:rsidR="00B921ED" w:rsidRDefault="00B921ED">
      <w:pPr>
        <w:widowControl w:val="0"/>
        <w:autoSpaceDE w:val="0"/>
        <w:autoSpaceDN w:val="0"/>
        <w:adjustRightInd w:val="0"/>
      </w:pPr>
      <w:r w:rsidRPr="00993B10">
        <w:rPr>
          <w:b/>
          <w:bCs/>
          <w:u w:val="single"/>
        </w:rPr>
        <w:t>F</w:t>
      </w:r>
      <w:r w:rsidR="00AD32FF" w:rsidRPr="00993B10">
        <w:rPr>
          <w:b/>
          <w:bCs/>
          <w:u w:val="single"/>
        </w:rPr>
        <w:t xml:space="preserve">. </w:t>
      </w:r>
      <w:proofErr w:type="spellStart"/>
      <w:r w:rsidR="00AD32FF" w:rsidRPr="00993B10">
        <w:rPr>
          <w:b/>
          <w:bCs/>
          <w:u w:val="single"/>
        </w:rPr>
        <w:t>Yazigi</w:t>
      </w:r>
      <w:proofErr w:type="spellEnd"/>
      <w:r w:rsidR="00AD32FF">
        <w:t>,</w:t>
      </w:r>
      <w:r>
        <w:t xml:space="preserve"> M</w:t>
      </w:r>
      <w:r w:rsidR="00AD32FF">
        <w:t>.</w:t>
      </w:r>
      <w:r>
        <w:t xml:space="preserve"> </w:t>
      </w:r>
      <w:proofErr w:type="spellStart"/>
      <w:r w:rsidR="00AD32FF">
        <w:t>Tucciarone</w:t>
      </w:r>
      <w:proofErr w:type="spellEnd"/>
      <w:r>
        <w:t>, R</w:t>
      </w:r>
      <w:r w:rsidR="00AD32FF">
        <w:t>.</w:t>
      </w:r>
      <w:r>
        <w:t xml:space="preserve"> </w:t>
      </w:r>
      <w:r w:rsidR="00AD32FF">
        <w:t>Bess</w:t>
      </w:r>
      <w:r>
        <w:t>, S</w:t>
      </w:r>
      <w:r w:rsidR="00AD32FF">
        <w:t>.</w:t>
      </w:r>
      <w:r>
        <w:t xml:space="preserve"> </w:t>
      </w:r>
      <w:proofErr w:type="spellStart"/>
      <w:r w:rsidR="00AD32FF">
        <w:t>Szpunar</w:t>
      </w:r>
      <w:proofErr w:type="spellEnd"/>
      <w:r>
        <w:t>, G</w:t>
      </w:r>
      <w:r w:rsidR="00AD32FF">
        <w:t>.</w:t>
      </w:r>
      <w:r>
        <w:t xml:space="preserve"> </w:t>
      </w:r>
      <w:r w:rsidR="00AD32FF">
        <w:t>Cohen</w:t>
      </w:r>
    </w:p>
    <w:p w:rsidR="00B921ED" w:rsidRDefault="00B921ED" w:rsidP="00993B10">
      <w:pPr>
        <w:widowControl w:val="0"/>
        <w:autoSpaceDE w:val="0"/>
        <w:autoSpaceDN w:val="0"/>
        <w:adjustRightInd w:val="0"/>
        <w:rPr>
          <w:color w:val="503820"/>
        </w:rPr>
      </w:pPr>
      <w:r>
        <w:rPr>
          <w:color w:val="000000"/>
        </w:rPr>
        <w:t xml:space="preserve">St. John Hospital and Medical Center, Detroit, </w:t>
      </w:r>
      <w:r w:rsidR="00993B10">
        <w:rPr>
          <w:color w:val="000000"/>
        </w:rPr>
        <w:t>MI</w:t>
      </w:r>
      <w:r>
        <w:rPr>
          <w:color w:val="000000"/>
        </w:rPr>
        <w:t>, USA</w:t>
      </w:r>
    </w:p>
    <w:p w:rsidR="00B921ED" w:rsidRDefault="00B921ED">
      <w:pPr>
        <w:widowControl w:val="0"/>
        <w:autoSpaceDE w:val="0"/>
        <w:autoSpaceDN w:val="0"/>
        <w:adjustRightInd w:val="0"/>
      </w:pPr>
    </w:p>
    <w:p w:rsidR="00E052CA" w:rsidRDefault="00E052CA" w:rsidP="00E052CA">
      <w:pPr>
        <w:jc w:val="both"/>
      </w:pPr>
      <w:r>
        <w:t xml:space="preserve">Background: Diverse biomarkers have been studied to determine their relationship to cardiovascular disease. However, reference values have not been reported relative to age, gender, and race in a diverse population among chest pain unit patients. Therefore, we compared the reference values of new and established biomarkers in this population. </w:t>
      </w:r>
    </w:p>
    <w:p w:rsidR="00E052CA" w:rsidRDefault="00E052CA" w:rsidP="00E052CA">
      <w:pPr>
        <w:jc w:val="both"/>
      </w:pPr>
      <w:r>
        <w:t>Methods:</w:t>
      </w:r>
      <w:r>
        <w:rPr>
          <w:lang w:val="en"/>
        </w:rPr>
        <w:t xml:space="preserve">  </w:t>
      </w:r>
      <w:r>
        <w:t>Biomarker analysis were performed at Siemens Healthcare Diagnostic Laboratory in chest pain unit patients (n = 150, age 46.5 ± 10.6 years; 57.3% female, 68% Black) without a prior history of cardiovascular disease (CVD).  Risk factors included hypertension (44%), smoking (30%), diabetes (15%), hyperlipidemia (25%), and CVD family history (43%).</w:t>
      </w:r>
    </w:p>
    <w:p w:rsidR="00E052CA" w:rsidRDefault="00E052CA" w:rsidP="00E052CA">
      <w:pPr>
        <w:jc w:val="both"/>
        <w:rPr>
          <w:bCs/>
        </w:rPr>
      </w:pPr>
      <w:r>
        <w:t xml:space="preserve">Results: Mean ± SD and the range of values are listed in table. Age did not show a significant relationship with any biomarkers, except </w:t>
      </w:r>
      <w:proofErr w:type="spellStart"/>
      <w:r>
        <w:t>Cystatin</w:t>
      </w:r>
      <w:proofErr w:type="spellEnd"/>
      <w:r>
        <w:t xml:space="preserve"> C (0.70±0.18 for &lt;40 </w:t>
      </w:r>
      <w:bookmarkStart w:id="0" w:name="_GoBack"/>
      <w:bookmarkEnd w:id="0"/>
      <w:r>
        <w:t xml:space="preserve">years, 0.77±0.16 for 40-60 years, and 0.8±0.21 for &gt;60 years old, </w:t>
      </w:r>
      <w:r>
        <w:rPr>
          <w:bCs/>
        </w:rPr>
        <w:t xml:space="preserve">p&lt;0.05 by ANOVA).  </w:t>
      </w:r>
    </w:p>
    <w:p w:rsidR="00E052CA" w:rsidRDefault="00E052CA" w:rsidP="00E052CA"/>
    <w:tbl>
      <w:tblPr>
        <w:tblW w:w="8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1613"/>
        <w:gridCol w:w="1612"/>
        <w:gridCol w:w="1632"/>
      </w:tblGrid>
      <w:tr w:rsidR="00E052CA" w:rsidTr="00E052CA">
        <w:trPr>
          <w:trHeight w:val="293"/>
        </w:trPr>
        <w:tc>
          <w:tcPr>
            <w:tcW w:w="1728" w:type="dxa"/>
            <w:tcBorders>
              <w:top w:val="single" w:sz="4" w:space="0" w:color="auto"/>
              <w:left w:val="single" w:sz="4" w:space="0" w:color="auto"/>
              <w:bottom w:val="single" w:sz="4" w:space="0" w:color="auto"/>
              <w:right w:val="single" w:sz="4" w:space="0" w:color="auto"/>
            </w:tcBorders>
          </w:tcPr>
          <w:p w:rsidR="00E052CA" w:rsidRDefault="00E052CA">
            <w:pPr>
              <w:rPr>
                <w:lang w:bidi="ar-SA"/>
              </w:rPr>
            </w:pPr>
          </w:p>
        </w:tc>
        <w:tc>
          <w:tcPr>
            <w:tcW w:w="3234" w:type="dxa"/>
            <w:gridSpan w:val="2"/>
            <w:tcBorders>
              <w:top w:val="single" w:sz="4" w:space="0" w:color="auto"/>
              <w:left w:val="single" w:sz="4" w:space="0" w:color="auto"/>
              <w:bottom w:val="single" w:sz="4" w:space="0" w:color="auto"/>
              <w:right w:val="single" w:sz="4" w:space="0" w:color="auto"/>
            </w:tcBorders>
            <w:hideMark/>
          </w:tcPr>
          <w:p w:rsidR="00E052CA" w:rsidRDefault="00E052CA">
            <w:pPr>
              <w:jc w:val="center"/>
              <w:rPr>
                <w:lang w:bidi="ar-SA"/>
              </w:rPr>
            </w:pPr>
            <w:r>
              <w:t>Gender</w:t>
            </w:r>
          </w:p>
        </w:tc>
        <w:tc>
          <w:tcPr>
            <w:tcW w:w="3246" w:type="dxa"/>
            <w:gridSpan w:val="2"/>
            <w:tcBorders>
              <w:top w:val="single" w:sz="4" w:space="0" w:color="auto"/>
              <w:left w:val="single" w:sz="4" w:space="0" w:color="auto"/>
              <w:bottom w:val="single" w:sz="4" w:space="0" w:color="auto"/>
              <w:right w:val="single" w:sz="4" w:space="0" w:color="auto"/>
            </w:tcBorders>
            <w:hideMark/>
          </w:tcPr>
          <w:p w:rsidR="00E052CA" w:rsidRDefault="00E052CA">
            <w:pPr>
              <w:jc w:val="center"/>
              <w:rPr>
                <w:lang w:bidi="ar-SA"/>
              </w:rPr>
            </w:pPr>
            <w:r>
              <w:t>Race</w:t>
            </w:r>
          </w:p>
        </w:tc>
      </w:tr>
      <w:tr w:rsidR="00E052CA" w:rsidTr="00E052CA">
        <w:trPr>
          <w:trHeight w:val="293"/>
        </w:trPr>
        <w:tc>
          <w:tcPr>
            <w:tcW w:w="1728" w:type="dxa"/>
            <w:tcBorders>
              <w:top w:val="single" w:sz="4" w:space="0" w:color="auto"/>
              <w:left w:val="single" w:sz="4" w:space="0" w:color="auto"/>
              <w:bottom w:val="single" w:sz="4" w:space="0" w:color="auto"/>
              <w:right w:val="single" w:sz="4" w:space="0" w:color="auto"/>
            </w:tcBorders>
          </w:tcPr>
          <w:p w:rsidR="00E052CA" w:rsidRDefault="00E052CA">
            <w:pPr>
              <w:rPr>
                <w:lang w:bidi="ar-SA"/>
              </w:rPr>
            </w:pPr>
          </w:p>
        </w:tc>
        <w:tc>
          <w:tcPr>
            <w:tcW w:w="1620" w:type="dxa"/>
            <w:tcBorders>
              <w:top w:val="single" w:sz="4" w:space="0" w:color="auto"/>
              <w:left w:val="single" w:sz="4" w:space="0" w:color="auto"/>
              <w:bottom w:val="single" w:sz="4" w:space="0" w:color="auto"/>
              <w:right w:val="single" w:sz="4" w:space="0" w:color="auto"/>
            </w:tcBorders>
            <w:hideMark/>
          </w:tcPr>
          <w:p w:rsidR="00E052CA" w:rsidRDefault="00E052CA">
            <w:pPr>
              <w:jc w:val="center"/>
              <w:rPr>
                <w:lang w:bidi="ar-SA"/>
              </w:rPr>
            </w:pPr>
            <w:r>
              <w:t xml:space="preserve">Female </w:t>
            </w:r>
          </w:p>
        </w:tc>
        <w:tc>
          <w:tcPr>
            <w:tcW w:w="1614" w:type="dxa"/>
            <w:tcBorders>
              <w:top w:val="single" w:sz="4" w:space="0" w:color="auto"/>
              <w:left w:val="single" w:sz="4" w:space="0" w:color="auto"/>
              <w:bottom w:val="single" w:sz="4" w:space="0" w:color="auto"/>
              <w:right w:val="single" w:sz="4" w:space="0" w:color="auto"/>
            </w:tcBorders>
            <w:hideMark/>
          </w:tcPr>
          <w:p w:rsidR="00E052CA" w:rsidRDefault="00E052CA">
            <w:pPr>
              <w:jc w:val="center"/>
              <w:rPr>
                <w:lang w:bidi="ar-SA"/>
              </w:rPr>
            </w:pPr>
            <w:r>
              <w:t>Male</w:t>
            </w:r>
          </w:p>
        </w:tc>
        <w:tc>
          <w:tcPr>
            <w:tcW w:w="1613" w:type="dxa"/>
            <w:tcBorders>
              <w:top w:val="single" w:sz="4" w:space="0" w:color="auto"/>
              <w:left w:val="single" w:sz="4" w:space="0" w:color="auto"/>
              <w:bottom w:val="single" w:sz="4" w:space="0" w:color="auto"/>
              <w:right w:val="single" w:sz="4" w:space="0" w:color="auto"/>
            </w:tcBorders>
            <w:hideMark/>
          </w:tcPr>
          <w:p w:rsidR="00E052CA" w:rsidRDefault="00E052CA">
            <w:pPr>
              <w:jc w:val="center"/>
              <w:rPr>
                <w:lang w:bidi="ar-SA"/>
              </w:rPr>
            </w:pPr>
            <w:r>
              <w:t>Black</w:t>
            </w:r>
          </w:p>
        </w:tc>
        <w:tc>
          <w:tcPr>
            <w:tcW w:w="1633" w:type="dxa"/>
            <w:tcBorders>
              <w:top w:val="single" w:sz="4" w:space="0" w:color="auto"/>
              <w:left w:val="single" w:sz="4" w:space="0" w:color="auto"/>
              <w:bottom w:val="single" w:sz="4" w:space="0" w:color="auto"/>
              <w:right w:val="single" w:sz="4" w:space="0" w:color="auto"/>
            </w:tcBorders>
            <w:hideMark/>
          </w:tcPr>
          <w:p w:rsidR="00E052CA" w:rsidRDefault="00E052CA">
            <w:pPr>
              <w:jc w:val="center"/>
              <w:rPr>
                <w:lang w:bidi="ar-SA"/>
              </w:rPr>
            </w:pPr>
            <w:r>
              <w:t>White</w:t>
            </w:r>
          </w:p>
        </w:tc>
      </w:tr>
      <w:tr w:rsidR="00E052CA" w:rsidTr="00E052CA">
        <w:trPr>
          <w:trHeight w:val="600"/>
        </w:trPr>
        <w:tc>
          <w:tcPr>
            <w:tcW w:w="1728"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 xml:space="preserve">Uric acid </w:t>
            </w:r>
          </w:p>
          <w:p w:rsidR="00E052CA" w:rsidRDefault="00E052CA">
            <w:pPr>
              <w:rPr>
                <w:lang w:bidi="ar-SA"/>
              </w:rPr>
            </w:pPr>
            <w:r>
              <w:t>(mg/</w:t>
            </w:r>
            <w:proofErr w:type="spellStart"/>
            <w:r>
              <w:t>dL</w:t>
            </w:r>
            <w:proofErr w:type="spellEnd"/>
            <w:r>
              <w:t>)</w:t>
            </w:r>
          </w:p>
        </w:tc>
        <w:tc>
          <w:tcPr>
            <w:tcW w:w="1620"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4.44 ± 1.25* (1.8 – 10.1)</w:t>
            </w:r>
          </w:p>
        </w:tc>
        <w:tc>
          <w:tcPr>
            <w:tcW w:w="1614"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6.00 ±1.45 (3.4 – 9.9)</w:t>
            </w:r>
          </w:p>
        </w:tc>
        <w:tc>
          <w:tcPr>
            <w:tcW w:w="1613"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5.01 ± 1.46 (1.8-10.1)</w:t>
            </w:r>
          </w:p>
        </w:tc>
        <w:tc>
          <w:tcPr>
            <w:tcW w:w="1633"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5.31 ±1.69   (2.6-9.9)</w:t>
            </w:r>
          </w:p>
        </w:tc>
      </w:tr>
      <w:tr w:rsidR="00E052CA" w:rsidTr="00E052CA">
        <w:trPr>
          <w:trHeight w:val="583"/>
        </w:trPr>
        <w:tc>
          <w:tcPr>
            <w:tcW w:w="1728"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proofErr w:type="spellStart"/>
            <w:r>
              <w:t>Homocysteine</w:t>
            </w:r>
            <w:proofErr w:type="spellEnd"/>
          </w:p>
          <w:p w:rsidR="00E052CA" w:rsidRDefault="00E052CA">
            <w:pPr>
              <w:rPr>
                <w:lang w:bidi="ar-SA"/>
              </w:rPr>
            </w:pPr>
            <w:r>
              <w:t>(</w:t>
            </w:r>
            <w:proofErr w:type="spellStart"/>
            <w:r>
              <w:t>umol</w:t>
            </w:r>
            <w:proofErr w:type="spellEnd"/>
            <w:r>
              <w:t>/L)</w:t>
            </w:r>
          </w:p>
        </w:tc>
        <w:tc>
          <w:tcPr>
            <w:tcW w:w="1620"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11.3 ± 4.07 (5.8-29.8)</w:t>
            </w:r>
          </w:p>
        </w:tc>
        <w:tc>
          <w:tcPr>
            <w:tcW w:w="1614"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12.3 ±2.93 (7.4– 24.3)</w:t>
            </w:r>
          </w:p>
        </w:tc>
        <w:tc>
          <w:tcPr>
            <w:tcW w:w="1613"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12.2 ± 4.05* (5.8-29.8)</w:t>
            </w:r>
          </w:p>
        </w:tc>
        <w:tc>
          <w:tcPr>
            <w:tcW w:w="1633"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10.7 ±2.4     (7.1-18.2)</w:t>
            </w:r>
          </w:p>
        </w:tc>
      </w:tr>
      <w:tr w:rsidR="00E052CA" w:rsidTr="00E052CA">
        <w:trPr>
          <w:trHeight w:val="600"/>
        </w:trPr>
        <w:tc>
          <w:tcPr>
            <w:tcW w:w="1728"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proofErr w:type="spellStart"/>
            <w:r>
              <w:t>Cystatin</w:t>
            </w:r>
            <w:proofErr w:type="spellEnd"/>
            <w:r>
              <w:t xml:space="preserve"> C</w:t>
            </w:r>
          </w:p>
          <w:p w:rsidR="00E052CA" w:rsidRDefault="00E052CA">
            <w:pPr>
              <w:rPr>
                <w:lang w:bidi="ar-SA"/>
              </w:rPr>
            </w:pPr>
            <w:r>
              <w:t>(mg/L)</w:t>
            </w:r>
          </w:p>
        </w:tc>
        <w:tc>
          <w:tcPr>
            <w:tcW w:w="1620"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0.72 ± 0.17* (0.41 – 1.3)</w:t>
            </w:r>
          </w:p>
        </w:tc>
        <w:tc>
          <w:tcPr>
            <w:tcW w:w="1614"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0.80 ±0.17 (0.47 – 1.25)</w:t>
            </w:r>
          </w:p>
        </w:tc>
        <w:tc>
          <w:tcPr>
            <w:tcW w:w="1613"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0.775 ± 0.18 (0.41 -1.35)</w:t>
            </w:r>
          </w:p>
        </w:tc>
        <w:tc>
          <w:tcPr>
            <w:tcW w:w="1633"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0.76 ±0.16 (0.47-1.25)</w:t>
            </w:r>
          </w:p>
        </w:tc>
      </w:tr>
      <w:tr w:rsidR="00E052CA" w:rsidTr="00E052CA">
        <w:trPr>
          <w:trHeight w:val="583"/>
        </w:trPr>
        <w:tc>
          <w:tcPr>
            <w:tcW w:w="1728"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MPO</w:t>
            </w:r>
          </w:p>
          <w:p w:rsidR="00E052CA" w:rsidRDefault="00E052CA">
            <w:pPr>
              <w:rPr>
                <w:lang w:bidi="ar-SA"/>
              </w:rPr>
            </w:pPr>
            <w:r>
              <w:t>(</w:t>
            </w:r>
            <w:proofErr w:type="spellStart"/>
            <w:r>
              <w:t>pmol</w:t>
            </w:r>
            <w:proofErr w:type="spellEnd"/>
            <w:r>
              <w:t>/L)</w:t>
            </w:r>
          </w:p>
        </w:tc>
        <w:tc>
          <w:tcPr>
            <w:tcW w:w="1620"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666 ± 95 (155-5001)</w:t>
            </w:r>
          </w:p>
        </w:tc>
        <w:tc>
          <w:tcPr>
            <w:tcW w:w="1614"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669 ±93  (139-5001)</w:t>
            </w:r>
          </w:p>
        </w:tc>
        <w:tc>
          <w:tcPr>
            <w:tcW w:w="1613"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594 ± 768 (139-5001)</w:t>
            </w:r>
          </w:p>
        </w:tc>
        <w:tc>
          <w:tcPr>
            <w:tcW w:w="1633"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820 ±1212  (171-5001)</w:t>
            </w:r>
          </w:p>
        </w:tc>
      </w:tr>
      <w:tr w:rsidR="00E052CA" w:rsidTr="00E052CA">
        <w:trPr>
          <w:trHeight w:val="583"/>
        </w:trPr>
        <w:tc>
          <w:tcPr>
            <w:tcW w:w="1728"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IL-2</w:t>
            </w:r>
          </w:p>
          <w:p w:rsidR="00E052CA" w:rsidRDefault="00E052CA">
            <w:pPr>
              <w:rPr>
                <w:lang w:bidi="ar-SA"/>
              </w:rPr>
            </w:pPr>
            <w:r>
              <w:t>(IU/mL)</w:t>
            </w:r>
          </w:p>
        </w:tc>
        <w:tc>
          <w:tcPr>
            <w:tcW w:w="1620"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344 ± 12* (150-744)</w:t>
            </w:r>
          </w:p>
        </w:tc>
        <w:tc>
          <w:tcPr>
            <w:tcW w:w="1614"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394 ± 17 (180-1096)</w:t>
            </w:r>
          </w:p>
        </w:tc>
        <w:tc>
          <w:tcPr>
            <w:tcW w:w="1613"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348 ± 128* (150-1096)</w:t>
            </w:r>
          </w:p>
        </w:tc>
        <w:tc>
          <w:tcPr>
            <w:tcW w:w="1633"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401 ±164    (160-1074)</w:t>
            </w:r>
          </w:p>
        </w:tc>
      </w:tr>
      <w:tr w:rsidR="00E052CA" w:rsidTr="00E052CA">
        <w:trPr>
          <w:trHeight w:val="600"/>
        </w:trPr>
        <w:tc>
          <w:tcPr>
            <w:tcW w:w="1728"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IL-6</w:t>
            </w:r>
          </w:p>
          <w:p w:rsidR="00E052CA" w:rsidRDefault="00E052CA">
            <w:pPr>
              <w:rPr>
                <w:lang w:bidi="ar-SA"/>
              </w:rPr>
            </w:pPr>
            <w:r>
              <w:t>(</w:t>
            </w:r>
            <w:proofErr w:type="spellStart"/>
            <w:r>
              <w:t>pg</w:t>
            </w:r>
            <w:proofErr w:type="spellEnd"/>
            <w:r>
              <w:t>/mL)</w:t>
            </w:r>
          </w:p>
        </w:tc>
        <w:tc>
          <w:tcPr>
            <w:tcW w:w="1620"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3.81 ± 4.05 (1.9 – 29.1)</w:t>
            </w:r>
          </w:p>
        </w:tc>
        <w:tc>
          <w:tcPr>
            <w:tcW w:w="1614"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4.18 ±4.84 (1.9 – 31.7)</w:t>
            </w:r>
          </w:p>
        </w:tc>
        <w:tc>
          <w:tcPr>
            <w:tcW w:w="1613"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4.08 ± 4.75 (1.9-31.7)</w:t>
            </w:r>
          </w:p>
        </w:tc>
        <w:tc>
          <w:tcPr>
            <w:tcW w:w="1633"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3.73 ±3.56   (1.9-22.3)</w:t>
            </w:r>
          </w:p>
        </w:tc>
      </w:tr>
      <w:tr w:rsidR="00E052CA" w:rsidTr="00E052CA">
        <w:trPr>
          <w:trHeight w:val="600"/>
        </w:trPr>
        <w:tc>
          <w:tcPr>
            <w:tcW w:w="1728"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TNF-Alpha</w:t>
            </w:r>
          </w:p>
          <w:p w:rsidR="00E052CA" w:rsidRDefault="00E052CA">
            <w:pPr>
              <w:rPr>
                <w:lang w:bidi="ar-SA"/>
              </w:rPr>
            </w:pPr>
            <w:r>
              <w:t>(</w:t>
            </w:r>
            <w:proofErr w:type="spellStart"/>
            <w:r>
              <w:t>pg</w:t>
            </w:r>
            <w:proofErr w:type="spellEnd"/>
            <w:r>
              <w:t>/mL)</w:t>
            </w:r>
          </w:p>
        </w:tc>
        <w:tc>
          <w:tcPr>
            <w:tcW w:w="1620"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11.1 ± 3.53* (5.3 – 24.0)</w:t>
            </w:r>
          </w:p>
        </w:tc>
        <w:tc>
          <w:tcPr>
            <w:tcW w:w="1614"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12.6 ±3.34 (6.6-23.6)</w:t>
            </w:r>
          </w:p>
        </w:tc>
        <w:tc>
          <w:tcPr>
            <w:tcW w:w="1613"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11.6 ± 3.6 (5.3-24)</w:t>
            </w:r>
          </w:p>
        </w:tc>
        <w:tc>
          <w:tcPr>
            <w:tcW w:w="1633" w:type="dxa"/>
            <w:tcBorders>
              <w:top w:val="single" w:sz="4" w:space="0" w:color="auto"/>
              <w:left w:val="single" w:sz="4" w:space="0" w:color="auto"/>
              <w:bottom w:val="single" w:sz="4" w:space="0" w:color="auto"/>
              <w:right w:val="single" w:sz="4" w:space="0" w:color="auto"/>
            </w:tcBorders>
            <w:hideMark/>
          </w:tcPr>
          <w:p w:rsidR="00E052CA" w:rsidRDefault="00E052CA">
            <w:pPr>
              <w:rPr>
                <w:lang w:bidi="ar-SA"/>
              </w:rPr>
            </w:pPr>
            <w:r>
              <w:t>12 ±3.35      (5.5-19.7)</w:t>
            </w:r>
          </w:p>
        </w:tc>
      </w:tr>
    </w:tbl>
    <w:p w:rsidR="00E052CA" w:rsidRDefault="00E052CA" w:rsidP="00E052CA">
      <w:pPr>
        <w:rPr>
          <w:lang w:bidi="ar-SA"/>
        </w:rPr>
      </w:pPr>
      <w:r>
        <w:t>*Denotes significant (p≤.05) difference between means</w:t>
      </w:r>
    </w:p>
    <w:p w:rsidR="00E052CA" w:rsidRDefault="00E052CA" w:rsidP="00E052CA"/>
    <w:p w:rsidR="00E052CA" w:rsidRDefault="00E052CA" w:rsidP="00E052CA">
      <w:r>
        <w:t>Conclusion: The relationship between biomarker and age, gender, and race varies with gender having the most consistent relationship. The clinical utility of these biomarkers in risk stratifying CDU patients deserves further study.</w:t>
      </w:r>
    </w:p>
    <w:p w:rsidR="00E052CA" w:rsidRDefault="00E052CA" w:rsidP="00E052CA"/>
    <w:p w:rsidR="00E052CA" w:rsidRDefault="00E052CA" w:rsidP="00E052CA">
      <w:pPr>
        <w:rPr>
          <w:lang w:val="en"/>
        </w:rPr>
      </w:pPr>
    </w:p>
    <w:p w:rsidR="00E052CA" w:rsidRDefault="00E052CA" w:rsidP="00E052CA"/>
    <w:p w:rsidR="00B921ED" w:rsidRDefault="00B921ED">
      <w:pPr>
        <w:widowControl w:val="0"/>
        <w:autoSpaceDE w:val="0"/>
        <w:autoSpaceDN w:val="0"/>
        <w:adjustRightInd w:val="0"/>
      </w:pPr>
    </w:p>
    <w:sectPr w:rsidR="00B921ED" w:rsidSect="00993B10">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2FF" w:rsidRDefault="00AD32FF" w:rsidP="00AD32FF">
      <w:r>
        <w:separator/>
      </w:r>
    </w:p>
  </w:endnote>
  <w:endnote w:type="continuationSeparator" w:id="0">
    <w:p w:rsidR="00AD32FF" w:rsidRDefault="00AD32FF" w:rsidP="00AD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2FF" w:rsidRDefault="00AD32FF" w:rsidP="00AD32FF">
      <w:r>
        <w:separator/>
      </w:r>
    </w:p>
  </w:footnote>
  <w:footnote w:type="continuationSeparator" w:id="0">
    <w:p w:rsidR="00AD32FF" w:rsidRDefault="00AD32FF" w:rsidP="00AD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FF" w:rsidRDefault="00AD32FF" w:rsidP="00AD32FF">
    <w:pPr>
      <w:pStyle w:val="Header"/>
    </w:pPr>
    <w:r>
      <w:t>1347, oral or poster, cat: 6</w:t>
    </w:r>
  </w:p>
  <w:p w:rsidR="00AD32FF" w:rsidRDefault="00AD32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993B10"/>
    <w:rsid w:val="00AD32FF"/>
    <w:rsid w:val="00B921ED"/>
    <w:rsid w:val="00E052CA"/>
    <w:rsid w:val="00FF55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FF"/>
    <w:pPr>
      <w:tabs>
        <w:tab w:val="center" w:pos="4320"/>
        <w:tab w:val="right" w:pos="8640"/>
      </w:tabs>
    </w:pPr>
  </w:style>
  <w:style w:type="character" w:customStyle="1" w:styleId="HeaderChar">
    <w:name w:val="Header Char"/>
    <w:basedOn w:val="DefaultParagraphFont"/>
    <w:link w:val="Header"/>
    <w:uiPriority w:val="99"/>
    <w:rsid w:val="00AD32FF"/>
    <w:rPr>
      <w:sz w:val="24"/>
      <w:szCs w:val="24"/>
    </w:rPr>
  </w:style>
  <w:style w:type="paragraph" w:styleId="Footer">
    <w:name w:val="footer"/>
    <w:basedOn w:val="Normal"/>
    <w:link w:val="FooterChar"/>
    <w:uiPriority w:val="99"/>
    <w:unhideWhenUsed/>
    <w:rsid w:val="00AD32FF"/>
    <w:pPr>
      <w:tabs>
        <w:tab w:val="center" w:pos="4320"/>
        <w:tab w:val="right" w:pos="8640"/>
      </w:tabs>
    </w:pPr>
  </w:style>
  <w:style w:type="character" w:customStyle="1" w:styleId="FooterChar">
    <w:name w:val="Footer Char"/>
    <w:basedOn w:val="DefaultParagraphFont"/>
    <w:link w:val="Footer"/>
    <w:uiPriority w:val="99"/>
    <w:rsid w:val="00AD32FF"/>
    <w:rPr>
      <w:sz w:val="24"/>
      <w:szCs w:val="24"/>
    </w:rPr>
  </w:style>
  <w:style w:type="paragraph" w:styleId="BalloonText">
    <w:name w:val="Balloon Text"/>
    <w:basedOn w:val="Normal"/>
    <w:link w:val="BalloonTextChar"/>
    <w:uiPriority w:val="99"/>
    <w:semiHidden/>
    <w:unhideWhenUsed/>
    <w:rsid w:val="00AD32FF"/>
    <w:rPr>
      <w:rFonts w:ascii="Tahoma" w:hAnsi="Tahoma" w:cs="Tahoma"/>
      <w:sz w:val="16"/>
      <w:szCs w:val="16"/>
    </w:rPr>
  </w:style>
  <w:style w:type="character" w:customStyle="1" w:styleId="BalloonTextChar">
    <w:name w:val="Balloon Text Char"/>
    <w:basedOn w:val="DefaultParagraphFont"/>
    <w:link w:val="BalloonText"/>
    <w:uiPriority w:val="99"/>
    <w:semiHidden/>
    <w:rsid w:val="00AD32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FF"/>
    <w:pPr>
      <w:tabs>
        <w:tab w:val="center" w:pos="4320"/>
        <w:tab w:val="right" w:pos="8640"/>
      </w:tabs>
    </w:pPr>
  </w:style>
  <w:style w:type="character" w:customStyle="1" w:styleId="HeaderChar">
    <w:name w:val="Header Char"/>
    <w:basedOn w:val="DefaultParagraphFont"/>
    <w:link w:val="Header"/>
    <w:uiPriority w:val="99"/>
    <w:rsid w:val="00AD32FF"/>
    <w:rPr>
      <w:sz w:val="24"/>
      <w:szCs w:val="24"/>
    </w:rPr>
  </w:style>
  <w:style w:type="paragraph" w:styleId="Footer">
    <w:name w:val="footer"/>
    <w:basedOn w:val="Normal"/>
    <w:link w:val="FooterChar"/>
    <w:uiPriority w:val="99"/>
    <w:unhideWhenUsed/>
    <w:rsid w:val="00AD32FF"/>
    <w:pPr>
      <w:tabs>
        <w:tab w:val="center" w:pos="4320"/>
        <w:tab w:val="right" w:pos="8640"/>
      </w:tabs>
    </w:pPr>
  </w:style>
  <w:style w:type="character" w:customStyle="1" w:styleId="FooterChar">
    <w:name w:val="Footer Char"/>
    <w:basedOn w:val="DefaultParagraphFont"/>
    <w:link w:val="Footer"/>
    <w:uiPriority w:val="99"/>
    <w:rsid w:val="00AD32FF"/>
    <w:rPr>
      <w:sz w:val="24"/>
      <w:szCs w:val="24"/>
    </w:rPr>
  </w:style>
  <w:style w:type="paragraph" w:styleId="BalloonText">
    <w:name w:val="Balloon Text"/>
    <w:basedOn w:val="Normal"/>
    <w:link w:val="BalloonTextChar"/>
    <w:uiPriority w:val="99"/>
    <w:semiHidden/>
    <w:unhideWhenUsed/>
    <w:rsid w:val="00AD32FF"/>
    <w:rPr>
      <w:rFonts w:ascii="Tahoma" w:hAnsi="Tahoma" w:cs="Tahoma"/>
      <w:sz w:val="16"/>
      <w:szCs w:val="16"/>
    </w:rPr>
  </w:style>
  <w:style w:type="character" w:customStyle="1" w:styleId="BalloonTextChar">
    <w:name w:val="Balloon Text Char"/>
    <w:basedOn w:val="DefaultParagraphFont"/>
    <w:link w:val="BalloonText"/>
    <w:uiPriority w:val="99"/>
    <w:semiHidden/>
    <w:rsid w:val="00AD3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90ED7DE0</Template>
  <TotalTime>3</TotalTime>
  <Pages>1</Pages>
  <Words>338</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2012-03-29T13:25:00Z</dcterms:created>
  <dcterms:modified xsi:type="dcterms:W3CDTF">2012-04-15T10:11:00Z</dcterms:modified>
</cp:coreProperties>
</file>